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截至2019年2月底，全国设市城市累计建成城市污水处理厂5500多座(不含乡镇污水处理厂和工业)，污水处理能力达2.04亿立方米/日。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题目：排水管渠腐蚀状况评判与模拟</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  李文平  中</w:t>
      </w: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rPr>
      </w:pPr>
      <w:r>
        <w:rPr>
          <w:rFonts w:hint="eastAsia" w:ascii="宋体" w:hAnsi="宋体" w:eastAsia="宋体" w:cs="宋体"/>
          <w:sz w:val="24"/>
        </w:rPr>
        <w:t>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专家 </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  周传庭   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bookmarkStart w:id="1" w:name="_GoBack"/>
      <w:bookmarkEnd w:id="1"/>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Cs/>
          <w:kern w:val="0"/>
          <w:sz w:val="24"/>
        </w:rPr>
      </w:pPr>
      <w:r>
        <w:rPr>
          <w:rFonts w:ascii="宋体" w:hAnsi="宋体" w:eastAsia="宋体"/>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 xml:space="preserve">任莹莹15122360102 (论文投稿) </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(发票和住房事宜)</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2019-08-09T08:51:51Z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